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4A9" w:rsidRPr="005D4E22" w:rsidRDefault="001424A9" w:rsidP="001424A9">
      <w:pPr>
        <w:pStyle w:val="berschrift3"/>
        <w:rPr>
          <w:rFonts w:ascii="Times New Roman" w:hAnsi="Times New Roman" w:cs="Times New Roman"/>
          <w:sz w:val="22"/>
          <w:szCs w:val="22"/>
        </w:rPr>
      </w:pPr>
      <w:bookmarkStart w:id="0" w:name="_Toc458427148"/>
      <w:bookmarkStart w:id="1" w:name="_GoBack"/>
      <w:bookmarkEnd w:id="1"/>
      <w:r w:rsidRPr="005D4E22">
        <w:rPr>
          <w:rFonts w:ascii="Times New Roman" w:hAnsi="Times New Roman" w:cs="Times New Roman"/>
          <w:sz w:val="22"/>
          <w:szCs w:val="22"/>
        </w:rPr>
        <w:t>Anlage 4: Ergänzende Geschäftsbedingungen</w:t>
      </w:r>
      <w:bookmarkEnd w:id="0"/>
    </w:p>
    <w:p w:rsidR="001424A9" w:rsidRPr="009078AE" w:rsidRDefault="001424A9" w:rsidP="001424A9">
      <w:pPr>
        <w:autoSpaceDE w:val="0"/>
        <w:autoSpaceDN w:val="0"/>
        <w:adjustRightInd w:val="0"/>
        <w:rPr>
          <w:rFonts w:ascii="Times New Roman" w:hAnsi="Times New Roman"/>
          <w:b/>
          <w:sz w:val="22"/>
          <w:szCs w:val="22"/>
        </w:rPr>
      </w:pPr>
    </w:p>
    <w:p w:rsidR="001424A9" w:rsidRPr="009078AE" w:rsidRDefault="001424A9" w:rsidP="001424A9">
      <w:pPr>
        <w:numPr>
          <w:ilvl w:val="0"/>
          <w:numId w:val="1"/>
        </w:numPr>
        <w:tabs>
          <w:tab w:val="clear" w:pos="720"/>
        </w:tabs>
        <w:autoSpaceDE w:val="0"/>
        <w:autoSpaceDN w:val="0"/>
        <w:adjustRightInd w:val="0"/>
        <w:ind w:left="426" w:hanging="426"/>
        <w:rPr>
          <w:rFonts w:ascii="Times New Roman" w:hAnsi="Times New Roman"/>
          <w:b/>
          <w:sz w:val="22"/>
          <w:szCs w:val="22"/>
        </w:rPr>
      </w:pPr>
      <w:r w:rsidRPr="009078AE">
        <w:rPr>
          <w:rFonts w:ascii="Times New Roman" w:hAnsi="Times New Roman"/>
          <w:b/>
          <w:sz w:val="22"/>
          <w:szCs w:val="22"/>
        </w:rPr>
        <w:t>Anwendungsbereich</w:t>
      </w:r>
    </w:p>
    <w:p w:rsidR="001424A9" w:rsidRPr="009078AE" w:rsidRDefault="001424A9" w:rsidP="001424A9">
      <w:pPr>
        <w:autoSpaceDE w:val="0"/>
        <w:autoSpaceDN w:val="0"/>
        <w:adjustRightInd w:val="0"/>
        <w:ind w:left="360"/>
        <w:rPr>
          <w:rFonts w:ascii="Times New Roman" w:hAnsi="Times New Roman"/>
          <w:b/>
          <w:sz w:val="22"/>
          <w:szCs w:val="22"/>
        </w:rPr>
      </w:pPr>
    </w:p>
    <w:p w:rsidR="001424A9" w:rsidRPr="009E375D" w:rsidRDefault="001424A9" w:rsidP="001424A9">
      <w:pPr>
        <w:rPr>
          <w:rFonts w:ascii="Times New Roman" w:hAnsi="Times New Roman"/>
          <w:sz w:val="22"/>
          <w:szCs w:val="22"/>
        </w:rPr>
      </w:pPr>
      <w:r w:rsidRPr="009E375D">
        <w:rPr>
          <w:rFonts w:ascii="Times New Roman" w:hAnsi="Times New Roman"/>
          <w:sz w:val="22"/>
          <w:szCs w:val="22"/>
        </w:rPr>
        <w:t xml:space="preserve">Die Ergänzenden Geschäftsbedingungen gelten für alle mit der </w:t>
      </w:r>
      <w:r w:rsidR="00891273">
        <w:rPr>
          <w:rFonts w:ascii="Times New Roman" w:hAnsi="Times New Roman"/>
          <w:sz w:val="22"/>
          <w:szCs w:val="22"/>
          <w:highlight w:val="yellow"/>
        </w:rPr>
        <w:t>Netzbetreiber</w:t>
      </w:r>
      <w:r w:rsidRPr="001424A9">
        <w:rPr>
          <w:rFonts w:ascii="Times New Roman" w:hAnsi="Times New Roman"/>
          <w:sz w:val="22"/>
          <w:szCs w:val="22"/>
          <w:highlight w:val="yellow"/>
        </w:rPr>
        <w:t xml:space="preserve"> AG</w:t>
      </w:r>
      <w:r w:rsidRPr="009E375D">
        <w:rPr>
          <w:rFonts w:ascii="Times New Roman" w:hAnsi="Times New Roman"/>
          <w:sz w:val="22"/>
          <w:szCs w:val="22"/>
        </w:rPr>
        <w:t xml:space="preserve"> abgeschlossenen Ausspeiseverträge zur Belieferung von Letztverbrauchern, die unmittelbar an das örtliche Verteilernetz der </w:t>
      </w:r>
      <w:r w:rsidR="00891273">
        <w:rPr>
          <w:rFonts w:ascii="Times New Roman" w:hAnsi="Times New Roman"/>
          <w:sz w:val="22"/>
          <w:szCs w:val="22"/>
          <w:highlight w:val="yellow"/>
        </w:rPr>
        <w:t>Netzbetreiber</w:t>
      </w:r>
      <w:r w:rsidRPr="001424A9">
        <w:rPr>
          <w:rFonts w:ascii="Times New Roman" w:hAnsi="Times New Roman"/>
          <w:sz w:val="22"/>
          <w:szCs w:val="22"/>
          <w:highlight w:val="yellow"/>
        </w:rPr>
        <w:t xml:space="preserve"> AG</w:t>
      </w:r>
      <w:r w:rsidRPr="009E375D">
        <w:rPr>
          <w:rFonts w:ascii="Times New Roman" w:hAnsi="Times New Roman"/>
          <w:sz w:val="22"/>
          <w:szCs w:val="22"/>
        </w:rPr>
        <w:t xml:space="preserve"> angeschlossen sind.</w:t>
      </w:r>
    </w:p>
    <w:p w:rsidR="001424A9" w:rsidRPr="009E375D" w:rsidRDefault="001424A9" w:rsidP="001424A9">
      <w:pPr>
        <w:autoSpaceDE w:val="0"/>
        <w:autoSpaceDN w:val="0"/>
        <w:adjustRightInd w:val="0"/>
        <w:rPr>
          <w:rFonts w:ascii="Times New Roman" w:hAnsi="Times New Roman"/>
          <w:sz w:val="22"/>
          <w:szCs w:val="22"/>
        </w:rPr>
      </w:pPr>
    </w:p>
    <w:p w:rsidR="001424A9" w:rsidRPr="009E375D" w:rsidRDefault="001424A9" w:rsidP="001424A9">
      <w:pPr>
        <w:numPr>
          <w:ilvl w:val="0"/>
          <w:numId w:val="1"/>
        </w:numPr>
        <w:tabs>
          <w:tab w:val="clear" w:pos="720"/>
        </w:tabs>
        <w:autoSpaceDE w:val="0"/>
        <w:autoSpaceDN w:val="0"/>
        <w:adjustRightInd w:val="0"/>
        <w:ind w:left="426" w:hanging="426"/>
        <w:rPr>
          <w:rFonts w:ascii="Times New Roman" w:hAnsi="Times New Roman"/>
          <w:b/>
          <w:sz w:val="22"/>
          <w:szCs w:val="22"/>
        </w:rPr>
      </w:pPr>
      <w:r w:rsidRPr="009E375D">
        <w:rPr>
          <w:rFonts w:ascii="Times New Roman" w:hAnsi="Times New Roman"/>
          <w:b/>
          <w:sz w:val="22"/>
          <w:szCs w:val="22"/>
        </w:rPr>
        <w:t xml:space="preserve">Entgelte </w:t>
      </w:r>
    </w:p>
    <w:p w:rsidR="001424A9" w:rsidRPr="009078AE" w:rsidRDefault="001424A9" w:rsidP="001424A9">
      <w:pPr>
        <w:autoSpaceDE w:val="0"/>
        <w:autoSpaceDN w:val="0"/>
        <w:adjustRightInd w:val="0"/>
        <w:ind w:left="360"/>
        <w:rPr>
          <w:rFonts w:ascii="Times New Roman" w:hAnsi="Times New Roman"/>
          <w:b/>
          <w:sz w:val="22"/>
          <w:szCs w:val="22"/>
        </w:rPr>
      </w:pPr>
    </w:p>
    <w:p w:rsidR="001424A9" w:rsidRPr="009078AE" w:rsidRDefault="001424A9" w:rsidP="001424A9">
      <w:pPr>
        <w:numPr>
          <w:ilvl w:val="1"/>
          <w:numId w:val="1"/>
        </w:numPr>
        <w:tabs>
          <w:tab w:val="clear" w:pos="1410"/>
        </w:tabs>
        <w:autoSpaceDE w:val="0"/>
        <w:autoSpaceDN w:val="0"/>
        <w:adjustRightInd w:val="0"/>
        <w:ind w:left="426" w:hanging="426"/>
        <w:rPr>
          <w:rFonts w:ascii="Times New Roman" w:hAnsi="Times New Roman"/>
          <w:sz w:val="22"/>
          <w:szCs w:val="22"/>
        </w:rPr>
      </w:pPr>
      <w:r w:rsidRPr="009078AE">
        <w:rPr>
          <w:rFonts w:ascii="Times New Roman" w:hAnsi="Times New Roman"/>
          <w:sz w:val="22"/>
          <w:szCs w:val="22"/>
        </w:rPr>
        <w:t>Entgelte für die Netznutzung für Ausspeisepunkte ohne registrierende Lastgangmessung</w:t>
      </w:r>
    </w:p>
    <w:p w:rsidR="001424A9" w:rsidRDefault="001424A9" w:rsidP="001424A9">
      <w:pPr>
        <w:autoSpaceDE w:val="0"/>
        <w:autoSpaceDN w:val="0"/>
        <w:adjustRightInd w:val="0"/>
        <w:ind w:left="426"/>
        <w:rPr>
          <w:rFonts w:ascii="Times New Roman" w:hAnsi="Times New Roman"/>
          <w:sz w:val="22"/>
          <w:szCs w:val="22"/>
        </w:rPr>
      </w:pPr>
      <w:r w:rsidRPr="009078AE">
        <w:rPr>
          <w:rFonts w:ascii="Times New Roman" w:hAnsi="Times New Roman"/>
          <w:sz w:val="22"/>
          <w:szCs w:val="22"/>
        </w:rPr>
        <w:t>Das Entgelt für die Netznutzung setzt sich aus einem Arbeitspreis und einem Grundpreis zusammen. Die Ermittlung des Grundpreises und des Arbeitspreises erfolgt auf Basis der tatsächlich bezogenen Jahresarbeit.</w:t>
      </w:r>
    </w:p>
    <w:p w:rsidR="00891273" w:rsidRPr="009078AE" w:rsidRDefault="00891273" w:rsidP="001424A9">
      <w:pPr>
        <w:autoSpaceDE w:val="0"/>
        <w:autoSpaceDN w:val="0"/>
        <w:adjustRightInd w:val="0"/>
        <w:ind w:left="426"/>
        <w:rPr>
          <w:rFonts w:ascii="Times New Roman" w:hAnsi="Times New Roman"/>
          <w:sz w:val="22"/>
          <w:szCs w:val="22"/>
        </w:rPr>
      </w:pPr>
    </w:p>
    <w:p w:rsidR="001424A9" w:rsidRPr="009078AE" w:rsidRDefault="001424A9" w:rsidP="001424A9">
      <w:pPr>
        <w:numPr>
          <w:ilvl w:val="1"/>
          <w:numId w:val="1"/>
        </w:numPr>
        <w:tabs>
          <w:tab w:val="clear" w:pos="1410"/>
        </w:tabs>
        <w:autoSpaceDE w:val="0"/>
        <w:autoSpaceDN w:val="0"/>
        <w:adjustRightInd w:val="0"/>
        <w:ind w:left="426" w:hanging="426"/>
        <w:rPr>
          <w:rFonts w:ascii="Times New Roman" w:hAnsi="Times New Roman"/>
          <w:sz w:val="22"/>
          <w:szCs w:val="22"/>
        </w:rPr>
      </w:pPr>
      <w:r w:rsidRPr="009078AE">
        <w:rPr>
          <w:rFonts w:ascii="Times New Roman" w:hAnsi="Times New Roman"/>
          <w:sz w:val="22"/>
          <w:szCs w:val="22"/>
        </w:rPr>
        <w:t>Entgelt für die Netznutzung für Ausspeisepunkte mit registrierender Lastgangmessung</w:t>
      </w:r>
    </w:p>
    <w:p w:rsidR="001424A9" w:rsidRPr="009078AE" w:rsidRDefault="001424A9" w:rsidP="001424A9">
      <w:pPr>
        <w:autoSpaceDE w:val="0"/>
        <w:autoSpaceDN w:val="0"/>
        <w:adjustRightInd w:val="0"/>
        <w:ind w:left="426"/>
        <w:rPr>
          <w:rFonts w:ascii="Times New Roman" w:hAnsi="Times New Roman"/>
          <w:sz w:val="22"/>
          <w:szCs w:val="22"/>
        </w:rPr>
      </w:pPr>
      <w:r w:rsidRPr="009078AE">
        <w:rPr>
          <w:rFonts w:ascii="Times New Roman" w:hAnsi="Times New Roman"/>
          <w:sz w:val="22"/>
          <w:szCs w:val="22"/>
        </w:rPr>
        <w:t xml:space="preserve">Das Entgelt für die Netznutzung setzt sich zusammen aus einem Arbeitspreis und einem Leistungspreis. Die Ermittlung des Leistungspreises erfolgt auf Basis der am Ausspeispunkt tatsächlich in Anspruch genommenen Jahreshöchstleistung. Als Jahreshöchstleistung gilt der höchste ermittelte 1-h-Leistungsmittelwert der Gasdurchflussmenge des </w:t>
      </w:r>
      <w:r>
        <w:rPr>
          <w:rFonts w:ascii="Times New Roman" w:hAnsi="Times New Roman"/>
          <w:sz w:val="22"/>
          <w:szCs w:val="22"/>
        </w:rPr>
        <w:t>Kalenderjahres</w:t>
      </w:r>
      <w:r w:rsidRPr="009078AE">
        <w:rPr>
          <w:rFonts w:ascii="Times New Roman" w:hAnsi="Times New Roman"/>
          <w:sz w:val="22"/>
          <w:szCs w:val="22"/>
        </w:rPr>
        <w:t xml:space="preserve">. </w:t>
      </w:r>
    </w:p>
    <w:p w:rsidR="001424A9" w:rsidRPr="009078AE" w:rsidRDefault="001424A9" w:rsidP="001424A9">
      <w:pPr>
        <w:autoSpaceDE w:val="0"/>
        <w:autoSpaceDN w:val="0"/>
        <w:adjustRightInd w:val="0"/>
        <w:ind w:left="426"/>
        <w:rPr>
          <w:rFonts w:ascii="Times New Roman" w:hAnsi="Times New Roman"/>
          <w:sz w:val="22"/>
          <w:szCs w:val="22"/>
        </w:rPr>
      </w:pPr>
      <w:r w:rsidRPr="009078AE">
        <w:rPr>
          <w:rFonts w:ascii="Times New Roman" w:hAnsi="Times New Roman"/>
          <w:sz w:val="22"/>
          <w:szCs w:val="22"/>
        </w:rPr>
        <w:t>Die Ermittlung des Arbeitspreises erfolgt auf Basis der tatsächlich bezogenen Jahresarbeit.</w:t>
      </w:r>
    </w:p>
    <w:p w:rsidR="001424A9" w:rsidRPr="009078AE" w:rsidRDefault="001424A9" w:rsidP="001424A9">
      <w:pPr>
        <w:autoSpaceDE w:val="0"/>
        <w:autoSpaceDN w:val="0"/>
        <w:adjustRightInd w:val="0"/>
        <w:ind w:left="1416"/>
        <w:rPr>
          <w:rFonts w:ascii="Times New Roman" w:hAnsi="Times New Roman"/>
          <w:sz w:val="22"/>
          <w:szCs w:val="22"/>
        </w:rPr>
      </w:pPr>
    </w:p>
    <w:p w:rsidR="001424A9" w:rsidRPr="009078AE" w:rsidRDefault="001424A9" w:rsidP="001424A9">
      <w:pPr>
        <w:numPr>
          <w:ilvl w:val="0"/>
          <w:numId w:val="1"/>
        </w:numPr>
        <w:tabs>
          <w:tab w:val="clear" w:pos="720"/>
        </w:tabs>
        <w:autoSpaceDE w:val="0"/>
        <w:autoSpaceDN w:val="0"/>
        <w:adjustRightInd w:val="0"/>
        <w:ind w:left="426" w:hanging="426"/>
        <w:rPr>
          <w:rFonts w:ascii="Times New Roman" w:hAnsi="Times New Roman"/>
          <w:b/>
          <w:sz w:val="22"/>
          <w:szCs w:val="22"/>
        </w:rPr>
      </w:pPr>
      <w:r w:rsidRPr="009078AE">
        <w:rPr>
          <w:rFonts w:ascii="Times New Roman" w:hAnsi="Times New Roman"/>
          <w:b/>
          <w:sz w:val="22"/>
          <w:szCs w:val="22"/>
        </w:rPr>
        <w:t>Abrechnung</w:t>
      </w:r>
    </w:p>
    <w:p w:rsidR="001424A9" w:rsidRPr="009078AE" w:rsidRDefault="001424A9" w:rsidP="001424A9">
      <w:pPr>
        <w:autoSpaceDE w:val="0"/>
        <w:autoSpaceDN w:val="0"/>
        <w:adjustRightInd w:val="0"/>
        <w:ind w:left="360"/>
        <w:rPr>
          <w:rFonts w:ascii="Times New Roman" w:hAnsi="Times New Roman"/>
          <w:sz w:val="22"/>
          <w:szCs w:val="22"/>
        </w:rPr>
      </w:pPr>
    </w:p>
    <w:p w:rsidR="001424A9" w:rsidRPr="009078AE" w:rsidRDefault="001424A9" w:rsidP="001424A9">
      <w:pPr>
        <w:numPr>
          <w:ilvl w:val="1"/>
          <w:numId w:val="1"/>
        </w:numPr>
        <w:tabs>
          <w:tab w:val="clear" w:pos="1410"/>
        </w:tabs>
        <w:autoSpaceDE w:val="0"/>
        <w:autoSpaceDN w:val="0"/>
        <w:adjustRightInd w:val="0"/>
        <w:ind w:left="426" w:hanging="426"/>
        <w:rPr>
          <w:rFonts w:ascii="Times New Roman" w:hAnsi="Times New Roman"/>
          <w:sz w:val="22"/>
          <w:szCs w:val="22"/>
        </w:rPr>
      </w:pPr>
      <w:r w:rsidRPr="009078AE">
        <w:rPr>
          <w:rFonts w:ascii="Times New Roman" w:hAnsi="Times New Roman"/>
          <w:sz w:val="22"/>
          <w:szCs w:val="22"/>
        </w:rPr>
        <w:t>Allgemeines</w:t>
      </w:r>
    </w:p>
    <w:p w:rsidR="001424A9" w:rsidRDefault="001424A9" w:rsidP="001424A9">
      <w:pPr>
        <w:autoSpaceDE w:val="0"/>
        <w:autoSpaceDN w:val="0"/>
        <w:adjustRightInd w:val="0"/>
        <w:ind w:left="426"/>
        <w:rPr>
          <w:rFonts w:ascii="Times New Roman" w:hAnsi="Times New Roman"/>
          <w:sz w:val="22"/>
          <w:szCs w:val="22"/>
        </w:rPr>
      </w:pPr>
      <w:r w:rsidRPr="009078AE">
        <w:rPr>
          <w:rFonts w:ascii="Times New Roman" w:hAnsi="Times New Roman"/>
          <w:sz w:val="22"/>
          <w:szCs w:val="22"/>
        </w:rPr>
        <w:t>Der Abrechnungszeitraum für einen Ausspeisepunkt beginnt mit der Aufnahme der Netznutzung für diesen Ausspeisepunkt durch den Transportkunden und beträgt in der Regel 12 Monate.</w:t>
      </w:r>
    </w:p>
    <w:p w:rsidR="00891273" w:rsidRPr="009078AE" w:rsidRDefault="00891273" w:rsidP="001424A9">
      <w:pPr>
        <w:autoSpaceDE w:val="0"/>
        <w:autoSpaceDN w:val="0"/>
        <w:adjustRightInd w:val="0"/>
        <w:ind w:left="426"/>
        <w:rPr>
          <w:rFonts w:ascii="Times New Roman" w:hAnsi="Times New Roman"/>
          <w:sz w:val="22"/>
          <w:szCs w:val="22"/>
        </w:rPr>
      </w:pPr>
    </w:p>
    <w:p w:rsidR="001424A9" w:rsidRPr="009078AE" w:rsidRDefault="001424A9" w:rsidP="001424A9">
      <w:pPr>
        <w:numPr>
          <w:ilvl w:val="1"/>
          <w:numId w:val="1"/>
        </w:numPr>
        <w:tabs>
          <w:tab w:val="clear" w:pos="1410"/>
        </w:tabs>
        <w:autoSpaceDE w:val="0"/>
        <w:autoSpaceDN w:val="0"/>
        <w:adjustRightInd w:val="0"/>
        <w:ind w:left="426" w:hanging="426"/>
        <w:rPr>
          <w:rFonts w:ascii="Times New Roman" w:hAnsi="Times New Roman"/>
          <w:sz w:val="22"/>
          <w:szCs w:val="22"/>
        </w:rPr>
      </w:pPr>
      <w:r w:rsidRPr="009078AE">
        <w:rPr>
          <w:rFonts w:ascii="Times New Roman" w:hAnsi="Times New Roman"/>
          <w:sz w:val="22"/>
          <w:szCs w:val="22"/>
        </w:rPr>
        <w:t>Abrechnung für Ausspeisepunkte mit zugeordnetem Standardlastprofil (SLP)</w:t>
      </w:r>
    </w:p>
    <w:p w:rsidR="001424A9" w:rsidRPr="009078AE" w:rsidRDefault="001424A9" w:rsidP="001424A9">
      <w:pPr>
        <w:autoSpaceDE w:val="0"/>
        <w:autoSpaceDN w:val="0"/>
        <w:adjustRightInd w:val="0"/>
        <w:ind w:left="426"/>
        <w:rPr>
          <w:rFonts w:ascii="Times New Roman" w:hAnsi="Times New Roman"/>
          <w:sz w:val="22"/>
          <w:szCs w:val="22"/>
        </w:rPr>
      </w:pPr>
      <w:r w:rsidRPr="009078AE">
        <w:rPr>
          <w:rFonts w:ascii="Times New Roman" w:hAnsi="Times New Roman"/>
          <w:sz w:val="22"/>
          <w:szCs w:val="22"/>
        </w:rPr>
        <w:t xml:space="preserve">Die Rechnungslegung für Ausspeisepunkte zu Letztverbrauchern mit zugeordnetem Standardlastprofil erfolgt nach Ermittlung des Zählerstandes entsprechend DVGW Arbeitsblatt G 685 im rollierenden Ableseverfahren turnusmäßig sowie nach Ablauf des Vertrages. Bis zur Rechnungslegung </w:t>
      </w:r>
      <w:r w:rsidRPr="009E375D">
        <w:rPr>
          <w:rFonts w:ascii="Times New Roman" w:hAnsi="Times New Roman"/>
          <w:sz w:val="22"/>
          <w:szCs w:val="22"/>
        </w:rPr>
        <w:t xml:space="preserve">zahlt der Transportkunde die von der </w:t>
      </w:r>
      <w:r w:rsidR="00891273">
        <w:rPr>
          <w:rFonts w:ascii="Times New Roman" w:hAnsi="Times New Roman"/>
          <w:sz w:val="22"/>
          <w:szCs w:val="22"/>
          <w:highlight w:val="yellow"/>
        </w:rPr>
        <w:t xml:space="preserve">Netzbetreiber </w:t>
      </w:r>
      <w:r w:rsidRPr="001424A9">
        <w:rPr>
          <w:rFonts w:ascii="Times New Roman" w:hAnsi="Times New Roman"/>
          <w:sz w:val="22"/>
          <w:szCs w:val="22"/>
          <w:highlight w:val="yellow"/>
        </w:rPr>
        <w:t>AG</w:t>
      </w:r>
      <w:r w:rsidRPr="009078AE">
        <w:rPr>
          <w:rFonts w:ascii="Times New Roman" w:hAnsi="Times New Roman"/>
          <w:sz w:val="22"/>
          <w:szCs w:val="22"/>
        </w:rPr>
        <w:t xml:space="preserve"> vorgegebenen Abschlagszahlungen laut Abschlagsplan, entsprechend der darin enthaltenen Zahlungsfristen. Die auf Grund der Abschlagszahlungen bereits geleisteten Zahlungen werden im Rahmen der Rechnungslegung angerechnet. Für die Ermittlung des Arbeitspreises und des Grundpreises wird die Zählerstandsdifferenz zwischen aktueller und dem Zählerstand der vorhergehenden Abrechnung herangezogen. Sofern der Abrechnungszeitraum kürzer oder länger als 1 Jahr ist, wird der Verbrauch auf 1 Jahr umgerechnet.</w:t>
      </w:r>
    </w:p>
    <w:p w:rsidR="001424A9" w:rsidRDefault="001424A9" w:rsidP="001424A9">
      <w:pPr>
        <w:autoSpaceDE w:val="0"/>
        <w:autoSpaceDN w:val="0"/>
        <w:adjustRightInd w:val="0"/>
        <w:ind w:left="426"/>
        <w:rPr>
          <w:rFonts w:ascii="Times New Roman" w:hAnsi="Times New Roman"/>
          <w:sz w:val="22"/>
          <w:szCs w:val="22"/>
        </w:rPr>
      </w:pPr>
      <w:r w:rsidRPr="009E375D">
        <w:rPr>
          <w:rFonts w:ascii="Times New Roman" w:hAnsi="Times New Roman"/>
          <w:sz w:val="22"/>
          <w:szCs w:val="22"/>
        </w:rPr>
        <w:t xml:space="preserve">Die </w:t>
      </w:r>
      <w:r w:rsidR="00891273">
        <w:rPr>
          <w:rFonts w:ascii="Times New Roman" w:hAnsi="Times New Roman"/>
          <w:sz w:val="22"/>
          <w:szCs w:val="22"/>
          <w:highlight w:val="yellow"/>
        </w:rPr>
        <w:t>Netzbetreiber</w:t>
      </w:r>
      <w:r w:rsidRPr="001424A9">
        <w:rPr>
          <w:rFonts w:ascii="Times New Roman" w:hAnsi="Times New Roman"/>
          <w:sz w:val="22"/>
          <w:szCs w:val="22"/>
          <w:highlight w:val="yellow"/>
        </w:rPr>
        <w:t xml:space="preserve"> AG</w:t>
      </w:r>
      <w:r w:rsidRPr="009E375D">
        <w:rPr>
          <w:rFonts w:ascii="Times New Roman" w:hAnsi="Times New Roman"/>
          <w:sz w:val="22"/>
          <w:szCs w:val="22"/>
        </w:rPr>
        <w:t xml:space="preserve"> ist berechtigt, den Verbrauch des Letztverbrauchers im Wege</w:t>
      </w:r>
      <w:r w:rsidRPr="009078AE">
        <w:rPr>
          <w:rFonts w:ascii="Times New Roman" w:hAnsi="Times New Roman"/>
          <w:sz w:val="22"/>
          <w:szCs w:val="22"/>
        </w:rPr>
        <w:t xml:space="preserve"> der rechnerischen Abgrenzung zu ermitteln oder diesen auf Basis der letzten Ablesung zu schätzen. Hierbei sind die tatsächlichen Verhältnisse angemessen zu berücksichtigen.</w:t>
      </w:r>
    </w:p>
    <w:p w:rsidR="00891273" w:rsidRPr="009078AE" w:rsidRDefault="00891273" w:rsidP="001424A9">
      <w:pPr>
        <w:autoSpaceDE w:val="0"/>
        <w:autoSpaceDN w:val="0"/>
        <w:adjustRightInd w:val="0"/>
        <w:ind w:left="426"/>
        <w:rPr>
          <w:rFonts w:ascii="Times New Roman" w:hAnsi="Times New Roman"/>
          <w:sz w:val="22"/>
          <w:szCs w:val="22"/>
        </w:rPr>
      </w:pPr>
    </w:p>
    <w:p w:rsidR="001424A9" w:rsidRPr="009078AE" w:rsidRDefault="001424A9" w:rsidP="00891273">
      <w:pPr>
        <w:numPr>
          <w:ilvl w:val="1"/>
          <w:numId w:val="1"/>
        </w:numPr>
        <w:tabs>
          <w:tab w:val="clear" w:pos="1410"/>
        </w:tabs>
        <w:autoSpaceDE w:val="0"/>
        <w:autoSpaceDN w:val="0"/>
        <w:adjustRightInd w:val="0"/>
        <w:ind w:left="426" w:hanging="426"/>
        <w:rPr>
          <w:rFonts w:ascii="Times New Roman" w:hAnsi="Times New Roman"/>
          <w:sz w:val="22"/>
          <w:szCs w:val="22"/>
        </w:rPr>
      </w:pPr>
      <w:r w:rsidRPr="009078AE">
        <w:rPr>
          <w:rFonts w:ascii="Times New Roman" w:hAnsi="Times New Roman"/>
          <w:sz w:val="22"/>
          <w:szCs w:val="22"/>
        </w:rPr>
        <w:t>Abrechnung für Ausspeisepunkte mit registrierender Lastgangmessung</w:t>
      </w:r>
      <w:r>
        <w:rPr>
          <w:rFonts w:ascii="Times New Roman" w:hAnsi="Times New Roman"/>
          <w:sz w:val="22"/>
          <w:szCs w:val="22"/>
        </w:rPr>
        <w:t xml:space="preserve"> </w:t>
      </w:r>
    </w:p>
    <w:p w:rsidR="001424A9" w:rsidRDefault="001424A9" w:rsidP="001424A9">
      <w:pPr>
        <w:autoSpaceDE w:val="0"/>
        <w:autoSpaceDN w:val="0"/>
        <w:adjustRightInd w:val="0"/>
        <w:ind w:left="426"/>
        <w:rPr>
          <w:rFonts w:ascii="Times New Roman" w:hAnsi="Times New Roman"/>
          <w:sz w:val="22"/>
          <w:szCs w:val="22"/>
        </w:rPr>
      </w:pPr>
      <w:r w:rsidRPr="009078AE">
        <w:rPr>
          <w:rFonts w:ascii="Times New Roman" w:hAnsi="Times New Roman"/>
          <w:sz w:val="22"/>
          <w:szCs w:val="22"/>
        </w:rPr>
        <w:t xml:space="preserve">Der Abrechnungszeitraum beginnt mit dem </w:t>
      </w:r>
      <w:r>
        <w:rPr>
          <w:rFonts w:ascii="Times New Roman" w:hAnsi="Times New Roman"/>
          <w:sz w:val="22"/>
          <w:szCs w:val="22"/>
        </w:rPr>
        <w:t>Kalenderjahr</w:t>
      </w:r>
      <w:r w:rsidRPr="009078AE">
        <w:rPr>
          <w:rFonts w:ascii="Times New Roman" w:hAnsi="Times New Roman"/>
          <w:sz w:val="22"/>
          <w:szCs w:val="22"/>
        </w:rPr>
        <w:t xml:space="preserve"> und endet </w:t>
      </w:r>
      <w:r>
        <w:rPr>
          <w:rFonts w:ascii="Times New Roman" w:hAnsi="Times New Roman"/>
          <w:sz w:val="22"/>
          <w:szCs w:val="22"/>
        </w:rPr>
        <w:t>nach Ablauf</w:t>
      </w:r>
      <w:r w:rsidRPr="009078AE">
        <w:rPr>
          <w:rFonts w:ascii="Times New Roman" w:hAnsi="Times New Roman"/>
          <w:sz w:val="22"/>
          <w:szCs w:val="22"/>
        </w:rPr>
        <w:t xml:space="preserve"> des </w:t>
      </w:r>
      <w:r>
        <w:rPr>
          <w:rFonts w:ascii="Times New Roman" w:hAnsi="Times New Roman"/>
          <w:sz w:val="22"/>
          <w:szCs w:val="22"/>
        </w:rPr>
        <w:t>Kalenderjahres.</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t>Die Abrechnung der RLM-Entnahmestellen nach dem Jahresleistungspreissystem</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t>erfolgt monatlich vorläufig und nachschüssig auf Grundlage der Messwerte des jeweiligen</w:t>
      </w:r>
    </w:p>
    <w:p w:rsidR="001424A9" w:rsidRPr="00115555" w:rsidRDefault="001424A9" w:rsidP="001424A9">
      <w:pPr>
        <w:autoSpaceDE w:val="0"/>
        <w:autoSpaceDN w:val="0"/>
        <w:adjustRightInd w:val="0"/>
        <w:ind w:left="426"/>
        <w:rPr>
          <w:rFonts w:ascii="Times New Roman" w:hAnsi="Times New Roman"/>
          <w:sz w:val="22"/>
          <w:szCs w:val="22"/>
        </w:rPr>
      </w:pPr>
      <w:r w:rsidRPr="00115555">
        <w:rPr>
          <w:rFonts w:ascii="Times New Roman" w:hAnsi="Times New Roman"/>
          <w:sz w:val="22"/>
          <w:szCs w:val="22"/>
        </w:rPr>
        <w:t>Monats. Sofern im betreffenden Abrechnungsmonat eine höhere als die bisher</w:t>
      </w:r>
      <w:r>
        <w:rPr>
          <w:rFonts w:ascii="Times New Roman" w:hAnsi="Times New Roman"/>
          <w:sz w:val="22"/>
          <w:szCs w:val="22"/>
        </w:rPr>
        <w:t xml:space="preserve"> </w:t>
      </w:r>
      <w:r w:rsidRPr="00115555">
        <w:rPr>
          <w:rFonts w:ascii="Times New Roman" w:hAnsi="Times New Roman"/>
          <w:sz w:val="22"/>
          <w:szCs w:val="22"/>
        </w:rPr>
        <w:t>im aktuellen Kalenderjahr erreichte Höchstleistung auftritt, erfolgt in diesem Abrechnungsmonat</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t>oder am Ende des Abrechnungszeitraums eine Nachberechnung der Differenz</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t>zwischen der bisher berechneten und neuen Höchstleistung für die vorausgegangenen</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t>Monate des aktuellen Abrechnungszeitraums. Auch im Fall eines unterjährigen</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t xml:space="preserve">Wechsels des </w:t>
      </w:r>
      <w:r w:rsidR="00025339">
        <w:rPr>
          <w:rFonts w:ascii="Times New Roman" w:hAnsi="Times New Roman"/>
          <w:sz w:val="22"/>
          <w:szCs w:val="22"/>
        </w:rPr>
        <w:t>Transportkunden</w:t>
      </w:r>
      <w:r w:rsidRPr="00115555">
        <w:rPr>
          <w:rFonts w:ascii="Times New Roman" w:hAnsi="Times New Roman"/>
          <w:sz w:val="22"/>
          <w:szCs w:val="22"/>
        </w:rPr>
        <w:t xml:space="preserve"> stellt der Netzbetreiber die Differenz dem gegenwärtigen</w:t>
      </w:r>
    </w:p>
    <w:p w:rsidR="001424A9" w:rsidRPr="00115555" w:rsidRDefault="00025339" w:rsidP="00891273">
      <w:pPr>
        <w:autoSpaceDE w:val="0"/>
        <w:autoSpaceDN w:val="0"/>
        <w:adjustRightInd w:val="0"/>
        <w:ind w:firstLine="426"/>
        <w:rPr>
          <w:rFonts w:ascii="Times New Roman" w:hAnsi="Times New Roman"/>
          <w:strike/>
          <w:sz w:val="22"/>
          <w:szCs w:val="22"/>
        </w:rPr>
      </w:pPr>
      <w:r>
        <w:rPr>
          <w:rFonts w:ascii="Times New Roman" w:hAnsi="Times New Roman"/>
          <w:sz w:val="22"/>
          <w:szCs w:val="22"/>
        </w:rPr>
        <w:t>Transportkunden</w:t>
      </w:r>
      <w:r w:rsidR="00891273">
        <w:rPr>
          <w:rFonts w:ascii="Times New Roman" w:hAnsi="Times New Roman"/>
          <w:sz w:val="22"/>
          <w:szCs w:val="22"/>
        </w:rPr>
        <w:t xml:space="preserve"> in Rechnung.</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lastRenderedPageBreak/>
        <w:t>Im Falle eines unterjährigen Wechsels des Anschlussnutzers sowie der unterjährigen</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t>Inbetriebnahme oder Stilllegung einer Entnahmestelle erfolgt die Berechnung des</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t>Leistungspreises ungeachtet der vorstehenden Absätze anteilig nur unter Berücksichtigung</w:t>
      </w:r>
    </w:p>
    <w:p w:rsidR="001424A9" w:rsidRPr="00115555" w:rsidRDefault="001424A9" w:rsidP="001424A9">
      <w:pPr>
        <w:autoSpaceDE w:val="0"/>
        <w:autoSpaceDN w:val="0"/>
        <w:adjustRightInd w:val="0"/>
        <w:ind w:firstLine="426"/>
        <w:rPr>
          <w:rFonts w:ascii="Times New Roman" w:hAnsi="Times New Roman"/>
          <w:sz w:val="22"/>
          <w:szCs w:val="22"/>
        </w:rPr>
      </w:pPr>
      <w:r w:rsidRPr="00115555">
        <w:rPr>
          <w:rFonts w:ascii="Times New Roman" w:hAnsi="Times New Roman"/>
          <w:sz w:val="22"/>
          <w:szCs w:val="22"/>
        </w:rPr>
        <w:t>der im Zeitraum der Anschlussnutzung gemessenen Höchstleistung. Das kalenderjährliche</w:t>
      </w:r>
    </w:p>
    <w:p w:rsidR="001424A9" w:rsidRPr="009078AE" w:rsidRDefault="001424A9" w:rsidP="001424A9">
      <w:pPr>
        <w:autoSpaceDE w:val="0"/>
        <w:autoSpaceDN w:val="0"/>
        <w:adjustRightInd w:val="0"/>
        <w:ind w:left="426"/>
        <w:rPr>
          <w:rFonts w:ascii="Times New Roman" w:hAnsi="Times New Roman"/>
          <w:sz w:val="22"/>
          <w:szCs w:val="22"/>
        </w:rPr>
      </w:pPr>
      <w:r w:rsidRPr="00115555">
        <w:rPr>
          <w:rFonts w:ascii="Times New Roman" w:hAnsi="Times New Roman"/>
          <w:sz w:val="22"/>
          <w:szCs w:val="22"/>
        </w:rPr>
        <w:t>Ende des Abrechnungszeitraums bleibt hiervon unberührt.</w:t>
      </w:r>
    </w:p>
    <w:p w:rsidR="001424A9" w:rsidRPr="009078AE" w:rsidRDefault="001424A9" w:rsidP="001424A9">
      <w:pPr>
        <w:autoSpaceDE w:val="0"/>
        <w:autoSpaceDN w:val="0"/>
        <w:adjustRightInd w:val="0"/>
        <w:rPr>
          <w:rFonts w:ascii="Times New Roman" w:hAnsi="Times New Roman"/>
          <w:sz w:val="22"/>
          <w:szCs w:val="22"/>
        </w:rPr>
      </w:pPr>
    </w:p>
    <w:p w:rsidR="001424A9" w:rsidRPr="009078AE" w:rsidRDefault="001424A9" w:rsidP="001424A9">
      <w:pPr>
        <w:numPr>
          <w:ilvl w:val="0"/>
          <w:numId w:val="1"/>
        </w:numPr>
        <w:tabs>
          <w:tab w:val="clear" w:pos="720"/>
        </w:tabs>
        <w:autoSpaceDE w:val="0"/>
        <w:autoSpaceDN w:val="0"/>
        <w:adjustRightInd w:val="0"/>
        <w:ind w:left="426" w:hanging="426"/>
        <w:rPr>
          <w:rFonts w:ascii="Times New Roman" w:hAnsi="Times New Roman"/>
          <w:b/>
          <w:sz w:val="22"/>
          <w:szCs w:val="22"/>
        </w:rPr>
      </w:pPr>
      <w:r w:rsidRPr="009078AE">
        <w:rPr>
          <w:rFonts w:ascii="Times New Roman" w:hAnsi="Times New Roman"/>
          <w:b/>
          <w:sz w:val="22"/>
          <w:szCs w:val="22"/>
        </w:rPr>
        <w:t>Zahlungsbedingungen</w:t>
      </w:r>
    </w:p>
    <w:p w:rsidR="001424A9" w:rsidRDefault="001424A9" w:rsidP="001424A9">
      <w:pPr>
        <w:autoSpaceDE w:val="0"/>
        <w:autoSpaceDN w:val="0"/>
        <w:adjustRightInd w:val="0"/>
        <w:ind w:left="426"/>
        <w:rPr>
          <w:rFonts w:ascii="Times New Roman" w:hAnsi="Times New Roman"/>
          <w:sz w:val="22"/>
          <w:szCs w:val="22"/>
        </w:rPr>
      </w:pPr>
      <w:r w:rsidRPr="009078AE">
        <w:rPr>
          <w:rFonts w:ascii="Times New Roman" w:hAnsi="Times New Roman"/>
          <w:sz w:val="22"/>
          <w:szCs w:val="22"/>
        </w:rPr>
        <w:t>Die für die Ermittlung der spezifischen Entgelte bzw. Preise erforderlichen Berechnungen werden ohne Auf- oder Abrundungen durchgeführt. Die errechneten Entgelte werden dann kaufmännisch auf zwei Nachkommastellen gerundet.</w:t>
      </w:r>
    </w:p>
    <w:p w:rsidR="006702A8" w:rsidRDefault="006702A8" w:rsidP="001424A9">
      <w:pPr>
        <w:autoSpaceDE w:val="0"/>
        <w:autoSpaceDN w:val="0"/>
        <w:adjustRightInd w:val="0"/>
        <w:ind w:left="426"/>
        <w:rPr>
          <w:rFonts w:ascii="Times New Roman" w:hAnsi="Times New Roman"/>
          <w:sz w:val="22"/>
          <w:szCs w:val="22"/>
        </w:rPr>
      </w:pPr>
    </w:p>
    <w:sectPr w:rsidR="006702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65201"/>
    <w:multiLevelType w:val="multilevel"/>
    <w:tmpl w:val="D4C29B7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69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4680"/>
        </w:tabs>
        <w:ind w:left="468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A9"/>
    <w:rsid w:val="00025339"/>
    <w:rsid w:val="00030FC5"/>
    <w:rsid w:val="001424A9"/>
    <w:rsid w:val="00187B07"/>
    <w:rsid w:val="002C3EDD"/>
    <w:rsid w:val="00505C7D"/>
    <w:rsid w:val="006702A8"/>
    <w:rsid w:val="00744B3B"/>
    <w:rsid w:val="007E4E37"/>
    <w:rsid w:val="00891273"/>
    <w:rsid w:val="00E760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3B512-BFF8-4B56-BCB2-6BCF125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424A9"/>
    <w:pPr>
      <w:spacing w:after="0" w:line="240" w:lineRule="auto"/>
    </w:pPr>
    <w:rPr>
      <w:rFonts w:ascii="Arial" w:eastAsia="Times New Roman" w:hAnsi="Arial" w:cs="Times New Roman"/>
      <w:sz w:val="21"/>
      <w:szCs w:val="21"/>
      <w:lang w:eastAsia="de-DE"/>
    </w:rPr>
  </w:style>
  <w:style w:type="paragraph" w:styleId="berschrift3">
    <w:name w:val="heading 3"/>
    <w:basedOn w:val="Standard"/>
    <w:next w:val="Standard"/>
    <w:link w:val="berschrift3Zchn"/>
    <w:uiPriority w:val="99"/>
    <w:qFormat/>
    <w:rsid w:val="001424A9"/>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rsid w:val="001424A9"/>
    <w:rPr>
      <w:rFonts w:ascii="Arial" w:eastAsia="Times New Roman" w:hAnsi="Arial" w:cs="Arial"/>
      <w:b/>
      <w:bCs/>
      <w:sz w:val="26"/>
      <w:szCs w:val="26"/>
      <w:lang w:eastAsia="de-DE"/>
    </w:rPr>
  </w:style>
  <w:style w:type="paragraph" w:styleId="StandardWeb">
    <w:name w:val="Normal (Web)"/>
    <w:basedOn w:val="Standard"/>
    <w:uiPriority w:val="99"/>
    <w:unhideWhenUsed/>
    <w:rsid w:val="006702A8"/>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3440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EON-IT</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H7504</dc:creator>
  <cp:lastModifiedBy>Stratmann, Julia</cp:lastModifiedBy>
  <cp:revision>2</cp:revision>
  <dcterms:created xsi:type="dcterms:W3CDTF">2020-02-14T12:22:00Z</dcterms:created>
  <dcterms:modified xsi:type="dcterms:W3CDTF">2020-02-14T12:22:00Z</dcterms:modified>
</cp:coreProperties>
</file>